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1" w:rsidRPr="00087030" w:rsidRDefault="00F16BF1" w:rsidP="002E24F7">
      <w:pPr>
        <w:rPr>
          <w:b/>
          <w:lang w:val="pl-PL"/>
        </w:rPr>
      </w:pPr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307800" w:rsidRPr="00307800" w:rsidRDefault="00307800" w:rsidP="002E24F7">
      <w:pPr>
        <w:rPr>
          <w:b/>
          <w:lang w:val="pl-PL"/>
        </w:rPr>
      </w:pPr>
      <w:r w:rsidRPr="00307800">
        <w:rPr>
          <w:b/>
          <w:highlight w:val="cyan"/>
          <w:lang w:val="pl-PL"/>
        </w:rPr>
        <w:t>Niniejszego wzoru nie stosuje się do wyjazdów studentów finansowanych z budżetu PO WER</w:t>
      </w:r>
      <w:r w:rsidR="0019246F" w:rsidRPr="0019246F">
        <w:rPr>
          <w:lang w:val="pl-PL"/>
        </w:rPr>
        <w:t>.</w:t>
      </w:r>
      <w:bookmarkStart w:id="0" w:name="_GoBack"/>
      <w:bookmarkEnd w:id="0"/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odErasmus</w:t>
      </w:r>
      <w:r w:rsidR="0073447E" w:rsidRPr="00476BFF">
        <w:rPr>
          <w:highlight w:val="yellow"/>
          <w:lang w:val="pl-PL"/>
        </w:rPr>
        <w:t>a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>dalej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r w:rsidR="008F23B0">
        <w:rPr>
          <w:highlight w:val="yellow"/>
          <w:lang w:val="pl-PL"/>
        </w:rPr>
        <w:t>/</w:t>
      </w:r>
      <w:r w:rsidR="002826C1">
        <w:rPr>
          <w:highlight w:val="yellow"/>
          <w:lang w:val="pl-PL"/>
        </w:rPr>
        <w:t xml:space="preserve"> nie określono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621179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13383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F13383"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6E4336">
        <w:rPr>
          <w:lang w:val="pl-PL"/>
        </w:rPr>
        <w:t>program</w:t>
      </w:r>
      <w:r w:rsidR="00F13383"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307800">
        <w:rPr>
          <w:highlight w:val="cyan"/>
          <w:lang w:val="pl-PL"/>
        </w:rPr>
        <w:t>jeżeli</w:t>
      </w:r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:rsidR="006E4336" w:rsidRDefault="00621179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13383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F13383">
        <w:rPr>
          <w:lang w:val="pl-PL"/>
        </w:rPr>
        <w:t>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 w:rsidR="00F13383"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 w:rsidR="00F13383"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:rsidR="00E546A7" w:rsidRDefault="00621179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13383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F13383">
        <w:rPr>
          <w:lang w:val="pl-PL"/>
        </w:rPr>
        <w:t>stypendium</w:t>
      </w:r>
      <w:r w:rsidR="006E4336" w:rsidRPr="00087030">
        <w:rPr>
          <w:lang w:val="pl-PL"/>
        </w:rPr>
        <w:t xml:space="preserve"> z funduszy UE</w:t>
      </w:r>
      <w:r w:rsidR="006E4336">
        <w:rPr>
          <w:lang w:val="pl-PL"/>
        </w:rPr>
        <w:t>program</w:t>
      </w:r>
      <w:r w:rsidR="00F13383"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6E4336" w:rsidRPr="00087030">
        <w:rPr>
          <w:lang w:val="pl-PL"/>
        </w:rPr>
        <w:t>na okres [</w:t>
      </w:r>
      <w:r w:rsidR="00F13383"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wybraćjeżeli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</w:t>
      </w:r>
      <w:r w:rsidR="0053579D">
        <w:rPr>
          <w:highlight w:val="cyan"/>
          <w:lang w:val="pl-PL"/>
        </w:rPr>
        <w:t>stype</w:t>
      </w:r>
      <w:r w:rsidR="00A829E2">
        <w:rPr>
          <w:highlight w:val="cyan"/>
          <w:lang w:val="pl-PL"/>
        </w:rPr>
        <w:t>n</w:t>
      </w:r>
      <w:r w:rsidR="0053579D">
        <w:rPr>
          <w:highlight w:val="cyan"/>
          <w:lang w:val="pl-PL"/>
        </w:rPr>
        <w:t>dium</w:t>
      </w:r>
      <w:r w:rsidR="003C456D" w:rsidRPr="003C456D">
        <w:rPr>
          <w:highlight w:val="cyan"/>
          <w:lang w:val="pl-PL"/>
        </w:rPr>
        <w:t>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 xml:space="preserve">jeżeli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306F38">
        <w:rPr>
          <w:lang w:val="pl-PL"/>
        </w:rPr>
        <w:t>akceptuje warunki wsparcia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 xml:space="preserve">, wjakim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apierwsz</w:t>
      </w:r>
      <w:r w:rsidR="009938B9">
        <w:rPr>
          <w:highlight w:val="cyan"/>
          <w:lang w:val="pl-PL"/>
        </w:rPr>
        <w:t>ego dnia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Pr="00087030">
        <w:rPr>
          <w:lang w:val="pl-PL"/>
        </w:rPr>
        <w:t>musi być obecny w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="00017468" w:rsidRPr="00087030">
        <w:rPr>
          <w:highlight w:val="yellow"/>
          <w:lang w:val="pl-PL"/>
        </w:rPr>
        <w:t>[…]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jeżeli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 uzyskał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F34106" w:rsidRPr="00087030">
        <w:rPr>
          <w:highlight w:val="cyan"/>
          <w:lang w:val="pl-PL"/>
        </w:rPr>
        <w:t>jeżeli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uzyskał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 połączone z</w:t>
      </w:r>
      <w:r w:rsidR="0053579D">
        <w:rPr>
          <w:highlight w:val="cyan"/>
          <w:lang w:val="pl-PL"/>
        </w:rPr>
        <w:t xml:space="preserve">e stypendium </w:t>
      </w:r>
      <w:r w:rsidR="00A96ED9" w:rsidRPr="00087030">
        <w:rPr>
          <w:highlight w:val="cyan"/>
          <w:lang w:val="pl-PL"/>
        </w:rPr>
        <w:t>zerowym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 xml:space="preserve">liczba dni będzie odpowiadać częściokresu </w:t>
      </w:r>
      <w:r w:rsidR="000E502A" w:rsidRPr="00087030">
        <w:rPr>
          <w:highlight w:val="cyan"/>
          <w:lang w:val="pl-PL"/>
        </w:rPr>
        <w:t>mobil</w:t>
      </w:r>
      <w:r w:rsidR="00F34106" w:rsidRPr="00087030">
        <w:rPr>
          <w:highlight w:val="cyan"/>
          <w:lang w:val="pl-PL"/>
        </w:rPr>
        <w:t xml:space="preserve">ności, który obejmuje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; 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4C6BB8">
        <w:rPr>
          <w:highlight w:val="cyan"/>
          <w:lang w:val="pl-PL"/>
        </w:rPr>
        <w:t xml:space="preserve"> w przypadku studiów; jeżeli Uczestnik jest Uczestnikiem z</w:t>
      </w:r>
      <w:r w:rsidR="0053579D">
        <w:rPr>
          <w:highlight w:val="cyan"/>
          <w:lang w:val="pl-PL"/>
        </w:rPr>
        <w:t xml:space="preserve">estypendium </w:t>
      </w:r>
      <w:r w:rsidR="004C6BB8">
        <w:rPr>
          <w:highlight w:val="cyan"/>
          <w:lang w:val="pl-PL"/>
        </w:rPr>
        <w:t xml:space="preserve">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 xml:space="preserve">niach w ramachprogramu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16BF1" w:rsidRPr="00087030">
        <w:rPr>
          <w:sz w:val="20"/>
          <w:lang w:val="pl-PL"/>
        </w:rPr>
        <w:t>3</w:t>
      </w:r>
      <w:r w:rsidR="00E6187C" w:rsidRPr="00087030">
        <w:rPr>
          <w:sz w:val="20"/>
          <w:lang w:val="pl-PL"/>
        </w:rPr>
        <w:t>–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D80F3D" w:rsidRPr="00087030">
        <w:rPr>
          <w:highlight w:val="yellow"/>
          <w:lang w:val="pl-PL"/>
        </w:rPr>
        <w:t>[…]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r w:rsidR="00D22CCB" w:rsidRPr="00D22CCB">
        <w:rPr>
          <w:i/>
          <w:lang w:val="pl-PL"/>
        </w:rPr>
        <w:t>MobilityTool+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lastRenderedPageBreak/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 xml:space="preserve">W przypadku niepełnych miesięcykwota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>niepełnosprawnością</w:t>
      </w:r>
      <w:r w:rsidR="00F518D0" w:rsidRPr="00316176">
        <w:rPr>
          <w:highlight w:val="cyan"/>
          <w:lang w:val="pl-PL"/>
        </w:rPr>
        <w:t xml:space="preserve">(jeśli uczestnik otrzymuje dofinansowanie </w:t>
      </w:r>
      <w:r w:rsidR="00663DD6">
        <w:rPr>
          <w:highlight w:val="cyan"/>
          <w:lang w:val="pl-PL"/>
        </w:rPr>
        <w:t xml:space="preserve">na </w:t>
      </w:r>
      <w:r w:rsidR="00F518D0" w:rsidRPr="00316176">
        <w:rPr>
          <w:highlight w:val="cyan"/>
          <w:lang w:val="pl-PL"/>
        </w:rPr>
        <w:t>podr</w:t>
      </w:r>
      <w:r w:rsidR="00B54403">
        <w:rPr>
          <w:highlight w:val="cyan"/>
          <w:lang w:val="pl-PL"/>
        </w:rPr>
        <w:t>óż; lub wysokich kosztów podróży</w:t>
      </w:r>
      <w:r w:rsidR="00271B7C" w:rsidRPr="00BD36FE">
        <w:rPr>
          <w:lang w:val="pl-PL"/>
        </w:rPr>
        <w:t>)</w:t>
      </w:r>
      <w:r w:rsidR="00A90154" w:rsidRPr="00BD36FE">
        <w:rPr>
          <w:lang w:val="pl-PL"/>
        </w:rPr>
        <w:t>,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 xml:space="preserve">dokonany w oparciuo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apotwierdzając</w:t>
      </w:r>
      <w:r w:rsidR="003B7BC8">
        <w:rPr>
          <w:lang w:val="pl-PL"/>
        </w:rPr>
        <w:t>e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>
        <w:rPr>
          <w:lang w:val="pl-PL"/>
        </w:rPr>
        <w:t xml:space="preserve"> uzgodniony w Załączniku I,inne środki finansowania, w tym dochódz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 xml:space="preserve">Uczelnię do NA iwymagają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>który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557E93" w:rsidRPr="00087030">
        <w:rPr>
          <w:lang w:val="pl-PL"/>
        </w:rPr>
        <w:t>kwoty określonej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ED5CB0">
        <w:rPr>
          <w:i/>
          <w:lang w:val="pl-PL"/>
        </w:rPr>
        <w:t>on-line</w:t>
      </w:r>
      <w:r w:rsidR="00E55618" w:rsidRPr="00087030">
        <w:rPr>
          <w:i/>
          <w:lang w:val="pl-PL"/>
        </w:rPr>
        <w:t>EU survey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="001D7A1B" w:rsidRPr="00C53371">
        <w:rPr>
          <w:highlight w:val="cyan"/>
          <w:lang w:val="pl-PL"/>
        </w:rPr>
        <w:t>zamieściwłaściwy zapis gwarantujący</w:t>
      </w:r>
      <w:r w:rsidR="003A63FA" w:rsidRPr="00C53371">
        <w:rPr>
          <w:highlight w:val="cyan"/>
          <w:lang w:val="pl-PL"/>
        </w:rPr>
        <w:t>, że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3A63FA" w:rsidRPr="00C53371">
        <w:rPr>
          <w:highlight w:val="cyan"/>
          <w:lang w:val="pl-PL"/>
        </w:rPr>
        <w:t>lub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3A63FA" w:rsidRPr="00C53371">
        <w:rPr>
          <w:highlight w:val="cyan"/>
          <w:lang w:val="pl-PL"/>
        </w:rPr>
        <w:t>lub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 xml:space="preserve">na podstawiekrajowego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 xml:space="preserve">Jednakżeochrona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C16E79" w:rsidRPr="00C53371">
        <w:rPr>
          <w:highlight w:val="cyan"/>
          <w:lang w:val="pl-PL"/>
        </w:rPr>
        <w:t xml:space="preserve">dodatkowe prywatne ubezpieczenie może </w:t>
      </w:r>
      <w:r w:rsidR="00C16E79" w:rsidRPr="00C53371">
        <w:rPr>
          <w:highlight w:val="cyan"/>
          <w:lang w:val="pl-PL"/>
        </w:rPr>
        <w:lastRenderedPageBreak/>
        <w:t>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określić w jaki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cywilnejobejmuje szkody spowodowane przez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(obejmujące co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r w:rsidR="00D67207" w:rsidRPr="00C53371">
        <w:rPr>
          <w:highlight w:val="cyan"/>
          <w:lang w:val="pl-PL"/>
        </w:rPr>
        <w:t>zarządzania jakością</w:t>
      </w:r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>
        <w:rPr>
          <w:highlight w:val="cyan"/>
          <w:lang w:val="pl-PL"/>
        </w:rPr>
        <w:t xml:space="preserve">bułgarski, chorwacki, czeski, duński, estoński, fiński, </w:t>
      </w:r>
      <w:r w:rsidRPr="003C456D">
        <w:rPr>
          <w:highlight w:val="cyan"/>
          <w:lang w:val="pl-PL"/>
        </w:rPr>
        <w:t xml:space="preserve">francuski, </w:t>
      </w:r>
      <w:r>
        <w:rPr>
          <w:highlight w:val="cyan"/>
          <w:lang w:val="pl-PL"/>
        </w:rPr>
        <w:t xml:space="preserve">grecki, </w:t>
      </w:r>
      <w:r w:rsidRPr="003C456D">
        <w:rPr>
          <w:highlight w:val="cyan"/>
          <w:lang w:val="pl-PL"/>
        </w:rPr>
        <w:t>hiszpański,</w:t>
      </w:r>
      <w:r>
        <w:rPr>
          <w:highlight w:val="cyan"/>
          <w:lang w:val="pl-PL"/>
        </w:rPr>
        <w:t xml:space="preserve"> irlandzki, litewski, łotewski, maltański, </w:t>
      </w:r>
      <w:r w:rsidRPr="003C456D">
        <w:rPr>
          <w:highlight w:val="cyan"/>
          <w:lang w:val="pl-PL"/>
        </w:rPr>
        <w:t>niderlandzki</w:t>
      </w:r>
      <w:r>
        <w:rPr>
          <w:highlight w:val="cyan"/>
          <w:lang w:val="pl-PL"/>
        </w:rPr>
        <w:t>,</w:t>
      </w:r>
      <w:r w:rsidRPr="003C456D">
        <w:rPr>
          <w:highlight w:val="cyan"/>
          <w:lang w:val="pl-PL"/>
        </w:rPr>
        <w:t xml:space="preserve"> niemiecki, </w:t>
      </w:r>
      <w:r>
        <w:rPr>
          <w:highlight w:val="cyan"/>
          <w:lang w:val="pl-PL"/>
        </w:rPr>
        <w:t xml:space="preserve">portugalski, rumuński, słowacki, słoweński, szwedzki, węgierski, </w:t>
      </w:r>
      <w:r w:rsidRPr="003C456D">
        <w:rPr>
          <w:highlight w:val="cyan"/>
          <w:lang w:val="pl-PL"/>
        </w:rPr>
        <w:t>włoski</w:t>
      </w:r>
      <w:r>
        <w:rPr>
          <w:highlight w:val="cyan"/>
          <w:lang w:val="pl-PL"/>
        </w:rPr>
        <w:t xml:space="preserve">, inne dodatkowe języki, które zostaną udostępnione w platformie Online Linguistic Support (OLS); z obowiązku tego zwolnieni są </w:t>
      </w:r>
      <w:r w:rsidRPr="00C22951">
        <w:rPr>
          <w:i/>
          <w:highlight w:val="cyan"/>
          <w:lang w:val="pl-PL"/>
        </w:rPr>
        <w:t>native speakers</w:t>
      </w:r>
      <w:r w:rsidRPr="00087030">
        <w:rPr>
          <w:lang w:val="pl-PL"/>
        </w:rPr>
        <w:t>]</w:t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2"/>
      </w:r>
      <w:r w:rsidRPr="00087030">
        <w:rPr>
          <w:lang w:val="pl-PL"/>
        </w:rPr>
        <w:t>.</w:t>
      </w:r>
    </w:p>
    <w:p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</w:t>
      </w:r>
      <w:r w:rsidR="00567D77" w:rsidRPr="00087030">
        <w:rPr>
          <w:lang w:val="pl-PL"/>
        </w:rPr>
        <w:lastRenderedPageBreak/>
        <w:t xml:space="preserve">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486F06">
        <w:rPr>
          <w:lang w:val="pl-PL"/>
        </w:rPr>
        <w:t>4</w:t>
      </w:r>
      <w:r w:rsidRPr="00087030">
        <w:rPr>
          <w:lang w:val="pl-PL"/>
        </w:rPr>
        <w:tab/>
        <w:t>[</w:t>
      </w:r>
      <w:r w:rsidR="009F0929" w:rsidRPr="00036CAE">
        <w:rPr>
          <w:highlight w:val="cyan"/>
          <w:lang w:val="pl-PL"/>
        </w:rPr>
        <w:t>o</w:t>
      </w:r>
      <w:r w:rsidRPr="00036CAE">
        <w:rPr>
          <w:highlight w:val="cyan"/>
          <w:lang w:val="pl-PL"/>
        </w:rPr>
        <w:t>pcjonalnie</w:t>
      </w:r>
      <w:r w:rsidR="00036CAE" w:rsidRPr="00036CAE">
        <w:rPr>
          <w:highlight w:val="cyan"/>
          <w:lang w:val="pl-PL"/>
        </w:rPr>
        <w:t>, jeżeli dotyczy</w:t>
      </w:r>
      <w:r w:rsidRPr="00087030">
        <w:rPr>
          <w:lang w:val="pl-PL"/>
        </w:rPr>
        <w:t xml:space="preserve">] </w:t>
      </w:r>
      <w:r w:rsidRPr="0001599A">
        <w:rPr>
          <w:highlight w:val="yellow"/>
          <w:lang w:val="pl-PL"/>
        </w:rPr>
        <w:t xml:space="preserve">Wypłata końcowej transzy </w:t>
      </w:r>
      <w:r w:rsidR="00EE67F9" w:rsidRPr="0001599A">
        <w:rPr>
          <w:highlight w:val="yellow"/>
          <w:lang w:val="pl-PL"/>
        </w:rPr>
        <w:t>stypendium</w:t>
      </w:r>
      <w:r w:rsidRPr="0001599A">
        <w:rPr>
          <w:highlight w:val="yellow"/>
          <w:lang w:val="pl-PL"/>
        </w:rPr>
        <w:t xml:space="preserve"> nastąpi nie wcześnie</w:t>
      </w:r>
      <w:r w:rsidR="00FC563C" w:rsidRPr="0001599A">
        <w:rPr>
          <w:highlight w:val="yellow"/>
          <w:lang w:val="pl-PL"/>
        </w:rPr>
        <w:t>j niż U</w:t>
      </w:r>
      <w:r w:rsidRPr="0001599A">
        <w:rPr>
          <w:highlight w:val="yellow"/>
          <w:lang w:val="pl-PL"/>
        </w:rPr>
        <w:t xml:space="preserve">czestnik wypełni test </w:t>
      </w:r>
      <w:r w:rsidR="008758A9" w:rsidRPr="0001599A">
        <w:rPr>
          <w:highlight w:val="yellow"/>
          <w:lang w:val="pl-PL"/>
        </w:rPr>
        <w:t>biegłości</w:t>
      </w:r>
      <w:r w:rsidRPr="0001599A">
        <w:rPr>
          <w:highlight w:val="yellow"/>
          <w:lang w:val="pl-PL"/>
        </w:rPr>
        <w:t xml:space="preserve"> językow</w:t>
      </w:r>
      <w:r w:rsidR="008758A9" w:rsidRPr="0001599A">
        <w:rPr>
          <w:highlight w:val="yellow"/>
          <w:lang w:val="pl-PL"/>
        </w:rPr>
        <w:t xml:space="preserve">ej </w:t>
      </w:r>
      <w:r w:rsidRPr="0001599A">
        <w:rPr>
          <w:highlight w:val="yellow"/>
          <w:lang w:val="pl-PL"/>
        </w:rPr>
        <w:t xml:space="preserve">w narzędziu on-line wskazanym przez </w:t>
      </w:r>
      <w:r w:rsidR="00FC563C" w:rsidRPr="0043498E">
        <w:rPr>
          <w:highlight w:val="yellow"/>
          <w:lang w:val="pl-PL"/>
        </w:rPr>
        <w:t>U</w:t>
      </w:r>
      <w:r w:rsidRPr="0043498E">
        <w:rPr>
          <w:highlight w:val="yellow"/>
          <w:lang w:val="pl-PL"/>
        </w:rPr>
        <w:t>czelnię</w:t>
      </w:r>
      <w:r w:rsidR="0043498E" w:rsidRPr="0043498E">
        <w:rPr>
          <w:highlight w:val="yellow"/>
          <w:lang w:val="pl-PL"/>
        </w:rPr>
        <w:t xml:space="preserve"> na zakończenie mobilności</w:t>
      </w:r>
      <w:r w:rsidRPr="0043498E">
        <w:rPr>
          <w:highlight w:val="yellow"/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on-line EU survey</w:t>
      </w:r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</w:t>
      </w:r>
      <w:r w:rsidRPr="00D06005">
        <w:rPr>
          <w:sz w:val="18"/>
          <w:szCs w:val="18"/>
          <w:lang w:val="pl-PL"/>
        </w:rPr>
        <w:lastRenderedPageBreak/>
        <w:t xml:space="preserve">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32" w:rsidRDefault="00E77632">
      <w:r>
        <w:separator/>
      </w:r>
    </w:p>
  </w:endnote>
  <w:endnote w:type="continuationSeparator" w:id="1">
    <w:p w:rsidR="00E77632" w:rsidRDefault="00E7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62117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626E1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62117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01536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62117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B62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53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32" w:rsidRDefault="00E77632">
      <w:r>
        <w:separator/>
      </w:r>
    </w:p>
  </w:footnote>
  <w:footnote w:type="continuationSeparator" w:id="1">
    <w:p w:rsidR="00E77632" w:rsidRDefault="00E77632">
      <w:r>
        <w:continuationSeparator/>
      </w:r>
    </w:p>
  </w:footnote>
  <w:footnote w:id="2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66C10">
      <w:rPr>
        <w:i/>
        <w:sz w:val="20"/>
      </w:rPr>
      <w:t>Konkurs wniosków 201</w:t>
    </w:r>
    <w:r w:rsidR="00E5024A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FE149C" w:rsidRDefault="00B626E1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2770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1179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1536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632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17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62117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62117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62117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62117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211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62117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6211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6211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6211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62117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62117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62117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62117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6211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6211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62117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62117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621179"/>
    <w:pPr>
      <w:spacing w:after="240"/>
      <w:ind w:left="357" w:hanging="357"/>
      <w:jc w:val="both"/>
    </w:pPr>
  </w:style>
  <w:style w:type="character" w:styleId="Numerstrony">
    <w:name w:val="page number"/>
    <w:rsid w:val="00621179"/>
    <w:rPr>
      <w:rFonts w:cs="Times New Roman"/>
    </w:rPr>
  </w:style>
  <w:style w:type="paragraph" w:styleId="Nagwek">
    <w:name w:val="header"/>
    <w:basedOn w:val="Normalny"/>
    <w:rsid w:val="006211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62117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62117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621179"/>
    <w:rPr>
      <w:rFonts w:cs="Times New Roman"/>
      <w:i/>
    </w:rPr>
  </w:style>
  <w:style w:type="character" w:styleId="Hipercze">
    <w:name w:val="Hyperlink"/>
    <w:rsid w:val="00621179"/>
    <w:rPr>
      <w:rFonts w:cs="Times New Roman"/>
      <w:color w:val="0000FF"/>
      <w:u w:val="single"/>
    </w:rPr>
  </w:style>
  <w:style w:type="character" w:styleId="Pogrubienie">
    <w:name w:val="Strong"/>
    <w:qFormat/>
    <w:rsid w:val="00621179"/>
    <w:rPr>
      <w:rFonts w:cs="Times New Roman"/>
      <w:b/>
    </w:rPr>
  </w:style>
  <w:style w:type="paragraph" w:customStyle="1" w:styleId="ZCom">
    <w:name w:val="Z_Com"/>
    <w:basedOn w:val="Normalny"/>
    <w:next w:val="Normalny"/>
    <w:rsid w:val="0062117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621179"/>
    <w:pPr>
      <w:shd w:val="clear" w:color="auto" w:fill="000080"/>
    </w:pPr>
  </w:style>
  <w:style w:type="character" w:customStyle="1" w:styleId="tw4winMark">
    <w:name w:val="tw4winMark"/>
    <w:rsid w:val="0062117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21179"/>
    <w:rPr>
      <w:color w:val="00FF00"/>
      <w:sz w:val="40"/>
    </w:rPr>
  </w:style>
  <w:style w:type="character" w:customStyle="1" w:styleId="tw4winTerm">
    <w:name w:val="tw4winTerm"/>
    <w:rsid w:val="00621179"/>
    <w:rPr>
      <w:color w:val="0000FF"/>
    </w:rPr>
  </w:style>
  <w:style w:type="character" w:customStyle="1" w:styleId="tw4winPopup">
    <w:name w:val="tw4winPopup"/>
    <w:rsid w:val="00621179"/>
    <w:rPr>
      <w:noProof/>
      <w:color w:val="008000"/>
    </w:rPr>
  </w:style>
  <w:style w:type="character" w:customStyle="1" w:styleId="tw4winJump">
    <w:name w:val="tw4winJump"/>
    <w:rsid w:val="00621179"/>
    <w:rPr>
      <w:noProof/>
      <w:color w:val="008080"/>
    </w:rPr>
  </w:style>
  <w:style w:type="character" w:customStyle="1" w:styleId="tw4winExternal">
    <w:name w:val="tw4winExternal"/>
    <w:rsid w:val="00621179"/>
    <w:rPr>
      <w:noProof/>
      <w:color w:val="808080"/>
    </w:rPr>
  </w:style>
  <w:style w:type="character" w:customStyle="1" w:styleId="tw4winInternal">
    <w:name w:val="tw4winInternal"/>
    <w:rsid w:val="00621179"/>
    <w:rPr>
      <w:noProof/>
      <w:color w:val="FF0000"/>
    </w:rPr>
  </w:style>
  <w:style w:type="character" w:customStyle="1" w:styleId="DONOTTRANSLATE">
    <w:name w:val="DO_NOT_TRANSLATE"/>
    <w:rsid w:val="0062117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6045-B454-4330-9CBE-F0599970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2943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- PC</cp:lastModifiedBy>
  <cp:revision>2</cp:revision>
  <cp:lastPrinted>2017-07-05T06:30:00Z</cp:lastPrinted>
  <dcterms:created xsi:type="dcterms:W3CDTF">2020-03-20T10:36:00Z</dcterms:created>
  <dcterms:modified xsi:type="dcterms:W3CDTF">2020-03-20T10:36:00Z</dcterms:modified>
</cp:coreProperties>
</file>